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7" w:rsidRPr="00C32F44" w:rsidRDefault="00C32F44" w:rsidP="00C32F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F44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C32F44" w:rsidRPr="00C32F44" w:rsidRDefault="00C32F44" w:rsidP="00C32F44">
      <w:pPr>
        <w:pStyle w:val="2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38712886"/>
      <w:bookmarkStart w:id="1" w:name="_Toc138880956"/>
      <w:r w:rsidRPr="00C32F44">
        <w:rPr>
          <w:rFonts w:ascii="Times New Roman" w:hAnsi="Times New Roman" w:cs="Times New Roman"/>
          <w:color w:val="000000" w:themeColor="text1"/>
          <w:sz w:val="28"/>
          <w:szCs w:val="28"/>
        </w:rPr>
        <w:t>1.3. Система оценки результатов освоения основной образовательной программы</w:t>
      </w:r>
      <w:bookmarkEnd w:id="0"/>
      <w:bookmarkEnd w:id="1"/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достижение планируемых результатов освоения ООП СОО и обеспечение эффективной обратной связи, позволяющей осуществлять управление образовательным процессом. На основе системы оценки разработано </w:t>
      </w:r>
      <w:bookmarkStart w:id="2" w:name="_Hlk112681076"/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«Положение о формах, периодичности и порядке текущего контроля успеваемости и промежуточной аттестации и об оценке образовательных достижений обучающихся». </w:t>
      </w:r>
      <w:bookmarkEnd w:id="2"/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Основными направлениями и целями оценочной деятельности в образовательной организации являются:</w:t>
      </w:r>
    </w:p>
    <w:p w:rsidR="00C32F44" w:rsidRPr="00C32F44" w:rsidRDefault="00C32F44" w:rsidP="00C32F44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</w:t>
      </w:r>
    </w:p>
    <w:p w:rsidR="00C32F44" w:rsidRPr="00C32F44" w:rsidRDefault="00C32F44" w:rsidP="00C32F44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оценка результатов деятельности педагогических работников как основа аттестационных процедур;</w:t>
      </w:r>
    </w:p>
    <w:p w:rsidR="00C32F44" w:rsidRPr="00C32F44" w:rsidRDefault="00C32F44" w:rsidP="00C32F44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оценка результатов деятельности образовательной организации как основа аккредитационных процедур.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Основным объектом системы оценки, ее содержательной и критериальной базой выступают требования ФГОС СОО, которые конкретизируются в планируемых результатах освоения обучающимися ООП СОО.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Система оценки включает процедуры внутренней и внешней оценки.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Внутренняя оценка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 включает:</w:t>
      </w:r>
    </w:p>
    <w:p w:rsidR="00C32F44" w:rsidRPr="00C32F44" w:rsidRDefault="00C32F44" w:rsidP="00C32F4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стартовую (диагностическую) работу;</w:t>
      </w:r>
    </w:p>
    <w:p w:rsidR="00C32F44" w:rsidRPr="00C32F44" w:rsidRDefault="00C32F44" w:rsidP="00C32F4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комплексные диагностические работы;</w:t>
      </w:r>
    </w:p>
    <w:p w:rsidR="00C32F44" w:rsidRPr="00C32F44" w:rsidRDefault="00C32F44" w:rsidP="00C32F4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текущую и тематическую оценку (осуществляются учителем);</w:t>
      </w:r>
    </w:p>
    <w:p w:rsidR="00C32F44" w:rsidRPr="00C32F44" w:rsidRDefault="00C32F44" w:rsidP="00C32F4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итоговую оценку;</w:t>
      </w:r>
    </w:p>
    <w:p w:rsidR="00C32F44" w:rsidRPr="00C32F44" w:rsidRDefault="00C32F44" w:rsidP="00C32F4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психолого-педагогическое наблюдение;</w:t>
      </w:r>
    </w:p>
    <w:p w:rsidR="00C32F44" w:rsidRPr="00C32F44" w:rsidRDefault="00C32F44" w:rsidP="00C32F4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внутренний мониторинг образовательных достижений обучающихся;</w:t>
      </w:r>
    </w:p>
    <w:p w:rsidR="00C32F44" w:rsidRPr="00C32F44" w:rsidRDefault="00C32F44" w:rsidP="00C32F4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промежуточную аттестацию.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Внешняя оценка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 включает:</w:t>
      </w:r>
    </w:p>
    <w:p w:rsidR="00C32F44" w:rsidRPr="00C32F44" w:rsidRDefault="00C32F44" w:rsidP="00C32F44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итоговую аттестацию,</w:t>
      </w:r>
    </w:p>
    <w:p w:rsidR="00C32F44" w:rsidRPr="00C32F44" w:rsidRDefault="00C32F44" w:rsidP="00C32F44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независимую оценку качества образования (в т.ч. всероссийские проверочные работы),</w:t>
      </w:r>
    </w:p>
    <w:p w:rsidR="00C32F44" w:rsidRPr="00C32F44" w:rsidRDefault="00C32F44" w:rsidP="00C32F44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мониторинговые исследования муниципального, регионального и федерального уровней.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В соответствии с ФГОС СОО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Системно-деятельностный подход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 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Уровневый подход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 служит важнейшей основой для организации индивидуальной работы с обучающимися. Он реализуется как по отношению к содержанию оценки, так и к представлению и интерпретации результатов измерений.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Уровневый подход реализуется за счет фиксации различных уровней достижения обучающимися планируемых результатов. Достижение базового 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lastRenderedPageBreak/>
        <w:t>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процесса, выступает достаточным для продолжения обучения и усвоения последующего учебного материала.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Комплексный подход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 к оценке образовательных достижений реализуется через:</w:t>
      </w:r>
    </w:p>
    <w:p w:rsidR="00C32F44" w:rsidRPr="00C32F44" w:rsidRDefault="00C32F44" w:rsidP="00C32F4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оценку предметных и метапредметных результатов;</w:t>
      </w:r>
    </w:p>
    <w:p w:rsidR="00C32F44" w:rsidRPr="00C32F44" w:rsidRDefault="00C32F44" w:rsidP="00C32F4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использования комплекса оценочных процедур  для выявления динамики индивидуальных образовательных достижений обучающихся и для итоговой оценки; </w:t>
      </w:r>
    </w:p>
    <w:p w:rsidR="00C32F44" w:rsidRPr="00C32F44" w:rsidRDefault="00C32F44" w:rsidP="00C32F4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использования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C32F44" w:rsidRPr="00C32F44" w:rsidRDefault="00C32F44" w:rsidP="00C32F4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использования разнообразных методов и форм оценки, взаимно дополняющих друг друга, в том числе оценок проектов, практических, исследовательских, творческих работ, наблюдения;</w:t>
      </w:r>
    </w:p>
    <w:p w:rsidR="00C32F44" w:rsidRPr="00C32F44" w:rsidRDefault="00C32F44" w:rsidP="00C32F4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использования форм работы, обеспечивающих возможность включения обучающихся в самостоятельную оценочную деятельность (самоанализ, самооценка, взаимооценка);</w:t>
      </w:r>
    </w:p>
    <w:p w:rsidR="00C32F44" w:rsidRPr="00C32F44" w:rsidRDefault="00C32F44" w:rsidP="00C32F4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использования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Оценка личностных результатов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СОО.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Во внутреннем мониторинге возможна оценка сформированности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предметов. Оценка сформированности личностных результатов необязательна, при необходимости фиксируется в портфолио и характеристике обучающегося.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Оценка метапредметных результатов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оценку достижения планируемых результатов освоения ООП СОО, которые отражают совокупность познавательных, коммуникативных и регулятивных универсальных учебных действий.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Основным объектом оценки метапредметных результатов:</w:t>
      </w:r>
    </w:p>
    <w:p w:rsidR="00C32F44" w:rsidRPr="00C32F44" w:rsidRDefault="00C32F44" w:rsidP="00C32F4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освоение обучающимися межпредметных понятий и универсальных учебных действий (регулятивных, познавательных, коммуникативных);</w:t>
      </w:r>
    </w:p>
    <w:p w:rsidR="00C32F44" w:rsidRPr="00C32F44" w:rsidRDefault="00C32F44" w:rsidP="00C32F4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способность использования универсальных учебных действий в познавательной и социальной практике, готовность к 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lastRenderedPageBreak/>
        <w:t>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C32F44" w:rsidRPr="00C32F44" w:rsidRDefault="00C32F44" w:rsidP="00C32F4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овладение навыками учебно-исследовательской, проектной и социальной деятельности.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Оценка достижения метапредметных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межпредметной основе и может включать диагностические материалы по оценке читательской, естественно-научной, математической, цифровой, финансовой грамотности, сформированности регулятивных, коммуникативных и познавательных универсальных учебных действий.</w:t>
      </w:r>
    </w:p>
    <w:p w:rsidR="00C32F44" w:rsidRPr="00C32F44" w:rsidRDefault="00C32F44" w:rsidP="00C32F44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оценки</w:t>
      </w:r>
      <w:r w:rsidRPr="00C32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32F44" w:rsidRPr="00C32F44" w:rsidRDefault="00C32F44" w:rsidP="00C32F44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для проверки читательской грамотности - письменная работа на межпредметной основе;</w:t>
      </w:r>
    </w:p>
    <w:p w:rsidR="00C32F44" w:rsidRPr="00C32F44" w:rsidRDefault="00C32F44" w:rsidP="00C32F44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для проверки цифровой грамотности - практическая работа в сочетании с письменной (компьютеризованной) частью;</w:t>
      </w:r>
    </w:p>
    <w:p w:rsidR="00C32F44" w:rsidRPr="00C32F44" w:rsidRDefault="00C32F44" w:rsidP="00C32F44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для проверки сформированности регулятивных, коммуникативных и познавательных универсальных учебных действий - экспертная оценка процесса и результатов выполнения групповых и (или) индивидуальных учебных исследований и проектов.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Каждый из перечисленных видов диагностики проводится с периодичностью не менее чем один раз в два года.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Групповые и (или) индивидуальные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учебные исследования и проекты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 (далее вместе - проект) выполняются обучающимся в рамках одного из учебных предметов или на межпредметной основе с целью демонстрации 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lastRenderedPageBreak/>
        <w:t>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Выбор темы проекта осуществляется обучающимися.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Результатом проекта является одна из следующих работ:</w:t>
      </w:r>
    </w:p>
    <w:p w:rsidR="00C32F44" w:rsidRPr="00C32F44" w:rsidRDefault="00C32F44" w:rsidP="00C32F44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C32F44" w:rsidRPr="00C32F44" w:rsidRDefault="00C32F44" w:rsidP="00C32F44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C32F44" w:rsidRPr="00C32F44" w:rsidRDefault="00C32F44" w:rsidP="00C32F44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материальный объект, макет, иное конструкторское изделие;</w:t>
      </w:r>
    </w:p>
    <w:p w:rsidR="00C32F44" w:rsidRPr="00C32F44" w:rsidRDefault="00C32F44" w:rsidP="00C32F44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отчетные материалы по социальному проекту.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Требования к организации проектной деятельности, к содержанию и направленности проекта определены локальным нормативным актом.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Проект оценивается по следующим критериям:</w:t>
      </w:r>
    </w:p>
    <w:p w:rsidR="00C32F44" w:rsidRPr="00C32F44" w:rsidRDefault="00C32F44" w:rsidP="00C32F4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сформированность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C32F44" w:rsidRPr="00C32F44" w:rsidRDefault="00C32F44" w:rsidP="00C32F4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сформированность предметных знаний и способов действий: умение раскрыть содержание работы, грамотно и обоснованно в 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соответствии с рассматриваемой проблемой или темой использовать имеющиеся знания и способы действий;</w:t>
      </w:r>
    </w:p>
    <w:p w:rsidR="00C32F44" w:rsidRPr="00C32F44" w:rsidRDefault="00C32F44" w:rsidP="00C32F4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сформированность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C32F44" w:rsidRPr="00C32F44" w:rsidRDefault="00C32F44" w:rsidP="00C32F4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сформированность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Процедуры оценки метапредметных результатов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 периодичность внутришкольного мониторинга по оценке достижения метапредметных результатов*: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26"/>
        <w:gridCol w:w="2014"/>
        <w:gridCol w:w="2019"/>
        <w:gridCol w:w="3086"/>
      </w:tblGrid>
      <w:tr w:rsidR="00C32F44" w:rsidRPr="00C32F44" w:rsidTr="00AB5151">
        <w:tc>
          <w:tcPr>
            <w:tcW w:w="1166" w:type="pct"/>
            <w:vMerge w:val="restart"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079" w:type="pct"/>
            <w:vMerge w:val="restart"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1107" w:type="pct"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класс</w:t>
            </w:r>
          </w:p>
        </w:tc>
        <w:tc>
          <w:tcPr>
            <w:tcW w:w="1648" w:type="pct"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 класс</w:t>
            </w:r>
          </w:p>
        </w:tc>
      </w:tr>
      <w:tr w:rsidR="00C32F44" w:rsidRPr="00C32F44" w:rsidTr="00AB5151">
        <w:tc>
          <w:tcPr>
            <w:tcW w:w="1166" w:type="pct"/>
            <w:vMerge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pct"/>
            <w:gridSpan w:val="2"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мониторинга, месяц</w:t>
            </w:r>
          </w:p>
        </w:tc>
      </w:tr>
      <w:tr w:rsidR="00C32F44" w:rsidRPr="00C32F44" w:rsidTr="00AB5151">
        <w:trPr>
          <w:trHeight w:val="2399"/>
        </w:trPr>
        <w:tc>
          <w:tcPr>
            <w:tcW w:w="1166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Внутришкольный мониторинг «Оценка метапредметных результатов»</w:t>
            </w: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1107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читательской грамотности. Письменная работа на межпредметной основе.</w:t>
            </w:r>
          </w:p>
        </w:tc>
        <w:tc>
          <w:tcPr>
            <w:tcW w:w="1648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цифровой грамотности. Практическая работа в сочетании с письменной (компьютеризированной) частью</w:t>
            </w:r>
          </w:p>
        </w:tc>
      </w:tr>
      <w:tr w:rsidR="00C32F44" w:rsidRPr="00C32F44" w:rsidTr="00AB5151">
        <w:trPr>
          <w:trHeight w:val="2399"/>
        </w:trPr>
        <w:tc>
          <w:tcPr>
            <w:tcW w:w="1166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Индивидуальные учебные исследования и проекты</w:t>
            </w:r>
          </w:p>
        </w:tc>
        <w:tc>
          <w:tcPr>
            <w:tcW w:w="1079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1107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8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Защита индивидуального проекта</w:t>
            </w:r>
          </w:p>
        </w:tc>
      </w:tr>
    </w:tbl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*По решению педагогического совета формы и сроки мониторинга по оценке достижения метапредметных результатов могут быть изменены, также возможно привлечение сторонних организаций для проведения независимой оценки.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контроль за достижением планируемых метапредметных результатов проводится один раз за учебный год во всех классах, задания для формирования метапредметных результатов включены в содержание уроков, курсов, в том числе внеурочной деятельности. Учитель проводит оценку метапредметных результатов в форме текущего контроля, наблюдений по своему предмету.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инструментария используются диагностические материалы по оценке читательской и цифровой грамотности, сформированности регулятивных, коммуникативных и познавательных учебных действий.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Возможно использовать диагностические материалы с сайтов*:</w:t>
      </w:r>
    </w:p>
    <w:p w:rsidR="00C32F44" w:rsidRPr="00C32F44" w:rsidRDefault="00C32F44" w:rsidP="00C32F44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Электронный банк заданий для оценки функциональной грамотности </w:t>
      </w:r>
      <w:hyperlink r:id="rId5" w:history="1">
        <w:r w:rsidRPr="00C32F44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https://fg.resh.edu.ru/</w:t>
        </w:r>
      </w:hyperlink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C32F44" w:rsidRPr="00C32F44" w:rsidRDefault="00C32F44" w:rsidP="00C32F44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ФИОКО - Открытые задания PISA </w:t>
      </w:r>
      <w:hyperlink r:id="rId6" w:history="1">
        <w:r w:rsidRPr="00C32F44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</w:t>
        </w:r>
      </w:hyperlink>
      <w:hyperlink r:id="rId7" w:history="1">
        <w:r w:rsidRPr="00C32F44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примеры-задач-</w:t>
        </w:r>
      </w:hyperlink>
      <w:hyperlink r:id="rId8" w:history="1">
        <w:r w:rsidRPr="00C32F44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pisa</w:t>
        </w:r>
      </w:hyperlink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*Список банка заданий может быть расширен по решению педагогического совета.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мониторингов, указанных в разделе «Процедуры оценки метапредметных результатов», и собственных наблюдений классным руководителем и/или ответственным лицом, проводящим мониторинг, заполняется лист сформированности метапредметных результатов (форма является Приложением к ООП): анализ овладения теми или иными универсальными учебными действиями.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2 балла – умение сформировано полностью,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1 балл – умение сформировано частично,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0 – умение не сформировано.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преобладании оценок «2 балла» – 70-100% делается вывод: «Обучающийся успешно осваивает метапредметные результаты».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При преобладании оценок «1 балл» - 70-100%, при условии 30-0% «2балла» делается вывод: «Обучающийся осваивает метапредметные результаты».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При преобладании оценок «1 балл» - 70-100%, остальные «0 баллов» делается вывод: «Обучающемуся необходима помощь в освоении метапредметных результатов».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При преобладании оценок «0 баллов» - 70-100% делается вывод: «Обучающийся не осваивает метапредметные результаты, необходима коррекция деятельности».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При использовании измерительных материалов с имеющимися критериями оценивания оценка метапредметных результатов проводится на их основе.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Предметные результаты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 освоения ООП СОО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Оценка предметных результатов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оценку достижения обучающимися планируемых результатов по отдельным учебным предметам.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Основным предметом оценки является способность к решению учебно-познавательных и учебно-практических задач, основанных на изучаемом учебном мате</w:t>
      </w:r>
      <w:bookmarkStart w:id="3" w:name="_GoBack"/>
      <w:bookmarkEnd w:id="3"/>
      <w:r w:rsidRPr="00C32F44">
        <w:rPr>
          <w:rFonts w:ascii="Times New Roman" w:hAnsi="Times New Roman"/>
          <w:color w:val="000000" w:themeColor="text1"/>
          <w:sz w:val="28"/>
          <w:szCs w:val="28"/>
        </w:rPr>
        <w:t>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141383201"/>
      <w:r w:rsidRPr="00C32F44">
        <w:rPr>
          <w:rFonts w:ascii="Times New Roman" w:hAnsi="Times New Roman"/>
          <w:color w:val="000000" w:themeColor="text1"/>
          <w:sz w:val="28"/>
          <w:szCs w:val="28"/>
        </w:rPr>
        <w:lastRenderedPageBreak/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  <w:bookmarkEnd w:id="4"/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Особенности оценки по отдельному учебному предмету фиксируются в приложении к ООП СОО.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Стартовая диагностика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Стартовая диагностика проводится в начале 10 класса и выступает как основа (точка отсчета) для оценки динамики образовательных достижений обучающихся.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Текущая оценка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Текущая оценка может быть формирующей (поддерживающей и направляющей усилия обучающегося, включающей его в самостоятельную оценочную деятельность),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В текущей оценке 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другие) с учетом особенностей учебного предмета.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Результаты текущей оценки являются основой для индивидуализации учебного процесса.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Тематическая оценка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Внутренний мониторинг представляет собой следующие процедуры:</w:t>
      </w:r>
    </w:p>
    <w:p w:rsidR="00C32F44" w:rsidRPr="00C32F44" w:rsidRDefault="00C32F44" w:rsidP="00C32F44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стартовая диагностика;</w:t>
      </w:r>
    </w:p>
    <w:p w:rsidR="00C32F44" w:rsidRPr="00C32F44" w:rsidRDefault="00C32F44" w:rsidP="00C32F44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оценка уровня достижения предметных и метапредметных результатов;</w:t>
      </w:r>
    </w:p>
    <w:p w:rsidR="00C32F44" w:rsidRPr="00C32F44" w:rsidRDefault="00C32F44" w:rsidP="00C32F44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оценка уровня функциональной грамотности;</w:t>
      </w:r>
    </w:p>
    <w:p w:rsidR="00C32F44" w:rsidRPr="00C32F44" w:rsidRDefault="00C32F44" w:rsidP="00C32F44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Содержание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Процедуры оценки предметных результатов, в том числе комплексных (диагностических) работ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lastRenderedPageBreak/>
        <w:t>Оценка предметных результатов – часть системы внутришкольного контроля и внутренней системы оценки качества образования. 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процесса, качестве подготовки и проведения уроков, также являются основанием для реко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softHyphen/>
        <w:t>мендаций как для текущей коррекции учебного процесса и его индивидуализации, так и для повышения квалификации учи</w:t>
      </w:r>
      <w:r w:rsidRPr="00C32F44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теля.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Основным инструментом контроля за проведением процедуры оценки предметных результатов является единый график оценочных процедур, который объединяет все уровни оценочных процедур.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В единый график вносятся все контрольные, проверочные и диагностические работы, которые выполняются всеми обучающимися в классе одновременно и длительность которые составляет не менее тридцати минут.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Заполнение графика начинается с внесения процедур федерального уровня, далее следуют региональные мониторинги, оценочные процедуры, проводимые общеобразовательной организацией. При получении информации о проведении мониторинга федерального и/или регионального уровней после создания документа в график вносятся изменения.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При составлении единого графика оценочных процедур используются «Рекомендации для системы общего образования по основным подходам к формированию графика оценочных процедур в образовательных организациях» (Письмо Минпросвещения РФ №СК-228/03, федеральной службы по надзору в сфере образования и науки №1-169/08-01 от 6.08.2021).   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32F44" w:rsidRPr="00C32F44" w:rsidRDefault="00C32F44" w:rsidP="00C32F44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Примерный перечень оценочных процедур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На основе данного перечня ежегодно осуществляется актуализация.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64"/>
        <w:gridCol w:w="1957"/>
        <w:gridCol w:w="1500"/>
        <w:gridCol w:w="1712"/>
        <w:gridCol w:w="1712"/>
      </w:tblGrid>
      <w:tr w:rsidR="00C32F44" w:rsidRPr="00C32F44" w:rsidTr="00AB5151">
        <w:tc>
          <w:tcPr>
            <w:tcW w:w="1349" w:type="pct"/>
            <w:vMerge w:val="restart"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041" w:type="pct"/>
            <w:vMerge w:val="restart"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809" w:type="pct"/>
            <w:vMerge w:val="restart"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Включение в единый график оценочных процедур</w:t>
            </w:r>
          </w:p>
        </w:tc>
        <w:tc>
          <w:tcPr>
            <w:tcW w:w="901" w:type="pct"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класс</w:t>
            </w:r>
          </w:p>
        </w:tc>
        <w:tc>
          <w:tcPr>
            <w:tcW w:w="900" w:type="pct"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 класс</w:t>
            </w:r>
          </w:p>
        </w:tc>
      </w:tr>
      <w:tr w:rsidR="00C32F44" w:rsidRPr="00C32F44" w:rsidTr="00AB5151">
        <w:tc>
          <w:tcPr>
            <w:tcW w:w="1349" w:type="pct"/>
            <w:vMerge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1" w:type="pct"/>
            <w:vMerge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pct"/>
            <w:vMerge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Примерные формы и сроки проведения</w:t>
            </w:r>
          </w:p>
        </w:tc>
      </w:tr>
      <w:tr w:rsidR="00C32F44" w:rsidRPr="00C32F44" w:rsidTr="00AB5151">
        <w:tc>
          <w:tcPr>
            <w:tcW w:w="1349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Стартовая педагогическая диагностика</w:t>
            </w: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(работы по основным предметам)</w:t>
            </w:r>
          </w:p>
        </w:tc>
        <w:tc>
          <w:tcPr>
            <w:tcW w:w="1041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Адм.</w:t>
            </w:r>
          </w:p>
        </w:tc>
        <w:tc>
          <w:tcPr>
            <w:tcW w:w="809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901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язык, математика, предметы по выбору сдачи ГИА</w:t>
            </w:r>
          </w:p>
        </w:tc>
        <w:tc>
          <w:tcPr>
            <w:tcW w:w="900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2F44" w:rsidRPr="00C32F44" w:rsidTr="00AB5151">
        <w:tc>
          <w:tcPr>
            <w:tcW w:w="1349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Стартовая педагогическая диагностика (входная к.р.) по инициативе учителя</w:t>
            </w:r>
          </w:p>
        </w:tc>
        <w:tc>
          <w:tcPr>
            <w:tcW w:w="1041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809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2F44" w:rsidRPr="00C32F44" w:rsidTr="00AB5151">
        <w:tc>
          <w:tcPr>
            <w:tcW w:w="1349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</w:tc>
        <w:tc>
          <w:tcPr>
            <w:tcW w:w="1041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809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01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Ежедневно по всем предметам</w:t>
            </w:r>
          </w:p>
        </w:tc>
        <w:tc>
          <w:tcPr>
            <w:tcW w:w="900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Ежедневно по всем предметам</w:t>
            </w:r>
          </w:p>
        </w:tc>
      </w:tr>
      <w:tr w:rsidR="00C32F44" w:rsidRPr="00C32F44" w:rsidTr="00AB5151">
        <w:tc>
          <w:tcPr>
            <w:tcW w:w="1349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Тематический контроль</w:t>
            </w:r>
          </w:p>
        </w:tc>
        <w:tc>
          <w:tcPr>
            <w:tcW w:w="1041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809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соответствии с КТП и РП</w:t>
            </w:r>
          </w:p>
        </w:tc>
        <w:tc>
          <w:tcPr>
            <w:tcW w:w="900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соответствии с КТП и РП</w:t>
            </w:r>
          </w:p>
        </w:tc>
      </w:tr>
      <w:tr w:rsidR="00C32F44" w:rsidRPr="00C32F44" w:rsidTr="00AB5151">
        <w:tc>
          <w:tcPr>
            <w:tcW w:w="1349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ВШК </w:t>
            </w: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предметных результатов.</w:t>
            </w: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Диагностические работы (Административная к.р.)</w:t>
            </w:r>
          </w:p>
        </w:tc>
        <w:tc>
          <w:tcPr>
            <w:tcW w:w="1041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Адм. </w:t>
            </w:r>
          </w:p>
        </w:tc>
        <w:tc>
          <w:tcPr>
            <w:tcW w:w="809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901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Декабрь, март</w:t>
            </w: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предметы по решению педсовета </w:t>
            </w:r>
          </w:p>
        </w:tc>
        <w:tc>
          <w:tcPr>
            <w:tcW w:w="900" w:type="pct"/>
          </w:tcPr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Декабрь, март </w:t>
            </w: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предметы по решению педсовета</w:t>
            </w:r>
          </w:p>
          <w:p w:rsidR="00C32F44" w:rsidRPr="00C32F44" w:rsidRDefault="00C32F44" w:rsidP="00C32F44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2F44" w:rsidRPr="00C32F44" w:rsidRDefault="00C32F44" w:rsidP="00C32F44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5" w:name="Par259"/>
      <w:bookmarkEnd w:id="5"/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Особенности оценки функциональной грамотности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(переносить) освоенные в учебном процессе знания, умения, отношения и ценности для решения внеучебных задач, приближенных к реалиям современной жизни.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и оценка функциональной грамотности (читательской, математической, естественно-научной, финансовой грамотности, а также глобальной компетентности и креативного мышления и других составляющих, отнесенных к функциональной грамотности) имеют сложный комплексный характер и осуществляются практически на всех учебных предметах, в урочной и внеурочной деятельности.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Оценка уровня сформированности функциональной грамотности является проявлением системно-деятельностного подхода к оценке образовательных достижений обучающихся. Он обеспечивается содержанием и критериями оценки личностных, метапредметных и предметных результатов.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В учебном процессе используются специальные (комплексные) задания, которые отличаются от традиционных учебных задач тем, что в заданиях описывается жизненная проблемная ситуация, как правило, близкая и понятная обучающемуся. Используются разные форматы представления информации: рисунки, таблицы, диаграммы, комиксы и др.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Способ решения проблемы явно не задан, допускаются альтернативные подходы к выполнению задания. Значительная часть заданий требует осознанного выбора модели поведения. На отдельных предметах формируются специфические для данного предмета знания, а также компетенции, например, на уроках естественно-научного цикла формируются умения объяснять наблюдаемые явления, проводить исследования и интерпретировать полученные результаты.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На всех предметах обучающиеся работают с информацией, представленной в различном виде, и решают специфические для данной предметной области задачи. По результатам выполнения отдельных заданий нельзя делать вывод о сформированности функциональной грамотности.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ситуациях.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проведения.</w:t>
      </w:r>
    </w:p>
    <w:p w:rsidR="00C32F44" w:rsidRPr="00C32F44" w:rsidRDefault="00C32F44" w:rsidP="00C32F44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32F44" w:rsidRPr="00C32F44" w:rsidRDefault="00C32F44" w:rsidP="00C32F44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Промежуточная аттестация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>Освоение образовательной программы среднего общего образования сопровождается промежуточной аттестацией обучающихся. В соответствии с 58 статьей 273-ФЗ «Об образовании в Российской Федерации» формы промежуточной аттестации определены в учебном плане ОО, порядок проведения промежуточной аттестации регламентирован локальным нормативным актом «</w:t>
      </w:r>
      <w:bookmarkStart w:id="6" w:name="_Toc103079571"/>
      <w:r w:rsidRPr="00C32F44">
        <w:rPr>
          <w:rFonts w:ascii="Times New Roman" w:hAnsi="Times New Roman"/>
          <w:color w:val="000000" w:themeColor="text1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и об оценке образовательных достижений обучающихся</w:t>
      </w:r>
      <w:bookmarkEnd w:id="6"/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2F44" w:rsidRPr="00C32F44" w:rsidRDefault="00C32F44" w:rsidP="00C32F44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b/>
          <w:bCs/>
          <w:color w:val="000000" w:themeColor="text1"/>
          <w:sz w:val="28"/>
          <w:szCs w:val="28"/>
        </w:rPr>
        <w:t>Внешние процедуры системы оценки планируемых результатов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Внешние процедуры системы оценки планируемых результатов регламентируются федеральными и региональными нормативными документами, в том числе проведение государственной итоговой аттестации, независимой оценки качества образования, федеральных, региональных мониторингов.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образовательной организацией регулярно проводится мониторинг изменений в документах, из числа административного состава назначен ответственный за проведение внешних процедур оценки планируемых результатов как на базе ОО, так и на базе других образовательных организаций. </w:t>
      </w:r>
    </w:p>
    <w:p w:rsidR="00C32F44" w:rsidRPr="00C32F44" w:rsidRDefault="00C32F44" w:rsidP="00C32F4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44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уровня, в частности Приказом Минпросвещения РФ от 5.10.2020.№546 «Об утверждении Порядка заполнения, учета и выдачи аттестатов об основном общем и среднем общем образовании и их дубликатов». Итоговая оценка фиксируется в документе об уровне образования государственного образца – аттестате о среднем общем образовании. </w:t>
      </w:r>
    </w:p>
    <w:p w:rsidR="00C32F44" w:rsidRPr="00C32F44" w:rsidRDefault="00C32F44" w:rsidP="00C32F44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color w:val="000000" w:themeColor="text1"/>
          <w:sz w:val="28"/>
          <w:szCs w:val="28"/>
        </w:rPr>
      </w:pPr>
    </w:p>
    <w:p w:rsidR="00C32F44" w:rsidRPr="00C32F44" w:rsidRDefault="00C32F44" w:rsidP="00C32F44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color w:val="000000" w:themeColor="text1"/>
          <w:sz w:val="28"/>
          <w:szCs w:val="28"/>
        </w:rPr>
      </w:pPr>
      <w:r w:rsidRPr="00C32F44">
        <w:rPr>
          <w:rFonts w:ascii="Times New Roman" w:eastAsia="SchoolBookSanPin" w:hAnsi="Times New Roman" w:cs="Times New Roman"/>
          <w:color w:val="000000" w:themeColor="text1"/>
          <w:sz w:val="28"/>
          <w:szCs w:val="28"/>
        </w:rPr>
        <w:t>Содержание и периодичность внутреннего мониторинга устанавливается решением педагогического совета образовательной организации, регламентируется локальным актом образовательной организации, фиксируется в планах внутришкольного контроля и внутренней системы оценки качества образования.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C32F44" w:rsidRPr="00C32F44" w:rsidRDefault="00C32F44" w:rsidP="00C32F4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32F44" w:rsidRPr="00C3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choolBookSanPin">
    <w:altName w:val="Batang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153"/>
    <w:multiLevelType w:val="hybridMultilevel"/>
    <w:tmpl w:val="EA8A76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A17BBF"/>
    <w:multiLevelType w:val="hybridMultilevel"/>
    <w:tmpl w:val="504E52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B21BB3"/>
    <w:multiLevelType w:val="hybridMultilevel"/>
    <w:tmpl w:val="9B28F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904A4C"/>
    <w:multiLevelType w:val="hybridMultilevel"/>
    <w:tmpl w:val="9158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F44AE"/>
    <w:multiLevelType w:val="hybridMultilevel"/>
    <w:tmpl w:val="307A4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A96E3B"/>
    <w:multiLevelType w:val="hybridMultilevel"/>
    <w:tmpl w:val="5E0A0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1C3AAA"/>
    <w:multiLevelType w:val="hybridMultilevel"/>
    <w:tmpl w:val="9EA25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455027"/>
    <w:multiLevelType w:val="hybridMultilevel"/>
    <w:tmpl w:val="4948A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F10739"/>
    <w:multiLevelType w:val="hybridMultilevel"/>
    <w:tmpl w:val="6AF84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4E11D7"/>
    <w:multiLevelType w:val="hybridMultilevel"/>
    <w:tmpl w:val="1214E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6E4372"/>
    <w:multiLevelType w:val="hybridMultilevel"/>
    <w:tmpl w:val="6ADCF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44"/>
    <w:rsid w:val="00286C65"/>
    <w:rsid w:val="00301A77"/>
    <w:rsid w:val="00867560"/>
    <w:rsid w:val="00C3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A17A"/>
  <w15:chartTrackingRefBased/>
  <w15:docId w15:val="{09D4E14E-738B-44B8-AC23-16C27636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2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2F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C32F44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C32F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32F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C32F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&#1087;&#1088;&#1080;&#1084;&#1077;&#1088;&#1099;-&#1079;&#1072;&#1076;&#1072;&#1095;-p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&#1087;&#1088;&#1080;&#1084;&#1077;&#1088;&#1099;-&#1079;&#1072;&#1076;&#1072;&#1095;-p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&#1087;&#1088;&#1080;&#1084;&#1077;&#1088;&#1099;-&#1079;&#1072;&#1076;&#1072;&#1095;-pisa" TargetMode="External"/><Relationship Id="rId5" Type="http://schemas.openxmlformats.org/officeDocument/2006/relationships/hyperlink" Target="https://fg.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3602</Words>
  <Characters>20536</Characters>
  <Application>Microsoft Office Word</Application>
  <DocSecurity>0</DocSecurity>
  <Lines>171</Lines>
  <Paragraphs>48</Paragraphs>
  <ScaleCrop>false</ScaleCrop>
  <Company/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2023-10-25T21:19:00Z</dcterms:created>
  <dcterms:modified xsi:type="dcterms:W3CDTF">2023-10-25T21:20:00Z</dcterms:modified>
</cp:coreProperties>
</file>